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8"/>
          <w:szCs w:val="28"/>
          <w:b w:val="1"/>
          <w:bCs w:val="1"/>
        </w:rPr>
        <w:t xml:space="preserve">Опросный лист по объекту для расчёта целевого уровня снижения</w:t>
      </w:r>
    </w:p>
    <w:p>
      <w:pPr>
        <w:jc w:val="center"/>
        <w:spacing w:after="240"/>
      </w:pPr>
      <w:r>
        <w:rPr>
          <w:sz w:val="18"/>
          <w:szCs w:val="18"/>
          <w:i w:val="1"/>
          <w:iCs w:val="1"/>
        </w:rPr>
        <w:t xml:space="preserve">Заполните графу «Значение». Незаполненная строка означает, что ресурс не потребляется. Заполненный бланк приложите в личном кабинете — инженер выполнит расчёт и вернёт результат.</w:t>
      </w:r>
    </w:p>
    <w:p>
      <w:pPr>
        <w:spacing w:before="240" w:after="80"/>
      </w:pPr>
      <w:r>
        <w:rPr>
          <w:sz w:val="24"/>
          <w:szCs w:val="24"/>
          <w:b w:val="1"/>
          <w:bCs w:val="1"/>
        </w:rPr>
        <w:t xml:space="preserve">Подпись расчёта</w:t>
      </w:r>
    </w:p>
    <w:p>
      <w:pPr>
        <w:spacing w:after="100"/>
      </w:pPr>
      <w:r>
        <w:rPr>
          <w:sz w:val="18"/>
          <w:szCs w:val="18"/>
          <w:i w:val="1"/>
          <w:iCs w:val="1"/>
        </w:rPr>
        <w:t xml:space="preserve">На числа не влияет — попадёт в шапку документа.</w:t>
      </w:r>
    </w:p>
    <w:tbl>
      <w:tblGrid>
        <w:gridCol w:w="6200" w:type="dxa"/>
        <w:gridCol w:w="3200" w:type="dxa"/>
      </w:tblGrid>
      <w:tblPr>
        <w:tblW w:w="0" w:type="auto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Наименование здания — Как объект называется в документах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Наименование учреждения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ИНН учреждения — 10 цифр для организации, 12 для предпринимателя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ФИО заполняющего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Должность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240" w:after="80"/>
      </w:pPr>
      <w:r>
        <w:rPr>
          <w:sz w:val="24"/>
          <w:szCs w:val="24"/>
          <w:b w:val="1"/>
          <w:bCs w:val="1"/>
        </w:rPr>
        <w:t xml:space="preserve">Здание и базовый год</w:t>
      </w:r>
    </w:p>
    <w:p>
      <w:pPr>
        <w:spacing w:after="100"/>
      </w:pPr>
      <w:r>
        <w:rPr>
          <w:sz w:val="18"/>
          <w:szCs w:val="18"/>
          <w:i w:val="1"/>
          <w:iCs w:val="1"/>
        </w:rPr>
        <w:t xml:space="preserve">Базовый год — последний, за который есть полные данные о потреблении.</w:t>
      </w:r>
    </w:p>
    <w:tbl>
      <w:tblGrid>
        <w:gridCol w:w="6200" w:type="dxa"/>
        <w:gridCol w:w="3200" w:type="dxa"/>
      </w:tblGrid>
      <w:tblPr>
        <w:tblW w:w="0" w:type="auto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Базовый год — Варианты: 2023; 2024; 2025.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Тип учреждения — Функционально-типологическая группа по приложению П1-1 Варианты: Детские сады различного типа; Общеобразовательные учреждения; Учреждения профессионального образования; ДЮСШ (включая спортивные школы, школы олимпийского резерва и т.п.); Школы искусств (художественные, хореографические); Музыкальные школы; Лечебные учреждения со стационаром, медицинские центры и т.д.; Амбулаторно-поликлинические организации; Аптеки, молочные кухни, ветеринарные аптеки; Больницы, в т.ч. корпуса, отделения; Фельдшерско-акушерские пункты; Типовые открытые спортивные сооружения; Крытые спортивные сооружения; Бассейны, водно-спортивные комплексы; Библиотеки, читальные залы, медиатеки; Музеи, выставки и т.п.; Театры и кинотеатры; Клубы; Административные здания; Собесы, биржи труда, центры занятости; НИИ, проектные и конструкторские организации; Нетиповое учреждение.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Субъект Российской Федерации — Определяет градусо-сутки отопительного периода. Список — на листе «Справочники».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Год ввода в эксплуатацию — Пункт 4.7 декларации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Режим работы — Варианты: 1 смена (до 8 часов); 1,5 смены (11–12 часов).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Этажность — Без подвальных помещений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Общая площадь, м² — Пункт 4.1 декларации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Полезная площадь на начало года, м²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Изменение полезной площади за год, м² — Ноль, если не менялась. Выбывшую площадь — со знаком минус.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Сколько дней действовало изменение, дней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Число пользователей, чел. — Работники и посетители в среднем за сутки. Пункт 11 декларации.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Температура в помещениях соответствует норме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В здании есть бассейн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Дней работы бассейна в году, дней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Доля пользователей бассейна, % — От общего числа пользователей здания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240" w:after="80"/>
      </w:pPr>
      <w:r>
        <w:rPr>
          <w:sz w:val="24"/>
          <w:szCs w:val="24"/>
          <w:b w:val="1"/>
          <w:bCs w:val="1"/>
        </w:rPr>
        <w:t xml:space="preserve">Тепловая энергия на отопление и вентиляцию</w:t>
      </w:r>
    </w:p>
    <w:p>
      <w:pPr>
        <w:spacing w:after="100"/>
      </w:pPr>
      <w:r>
        <w:rPr>
          <w:sz w:val="18"/>
          <w:szCs w:val="18"/>
          <w:i w:val="1"/>
          <w:iCs w:val="1"/>
        </w:rPr>
        <w:t xml:space="preserve">Пункт 12.1 декларации. Без учёта выработки тепловым насосом.</w:t>
      </w:r>
    </w:p>
    <w:tbl>
      <w:tblGrid>
        <w:gridCol w:w="6200" w:type="dxa"/>
        <w:gridCol w:w="3200" w:type="dxa"/>
      </w:tblGrid>
      <w:tblPr>
        <w:tblW w:w="0" w:type="auto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Здание подключено к централизованному теплоснабжению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Установлен коммерческий прибор учёта тепловой энергии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Способ учёта — Варианты: Раздельный: только отопление и вентиляция; Совместный: вместе с горячим водоснабжением.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Потребление на отопление и вентиляцию, Гкал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Потребление на отопление, вентиляцию и ГВС, Гкал — Заполняется при совместном учёте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Затраты на тепловую энергию за год, ₽ — Нужно для программы, на расчёт не влияет.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240" w:after="80"/>
      </w:pPr>
      <w:r>
        <w:rPr>
          <w:sz w:val="24"/>
          <w:szCs w:val="24"/>
          <w:b w:val="1"/>
          <w:bCs w:val="1"/>
        </w:rPr>
        <w:t xml:space="preserve">Вода</w:t>
      </w:r>
    </w:p>
    <w:p>
      <w:pPr>
        <w:spacing w:after="100"/>
      </w:pPr>
      <w:r>
        <w:rPr>
          <w:sz w:val="18"/>
          <w:szCs w:val="18"/>
          <w:i w:val="1"/>
          <w:iCs w:val="1"/>
        </w:rPr>
        <w:t xml:space="preserve">Пункт 12.3 декларации.</w:t>
      </w:r>
    </w:p>
    <w:tbl>
      <w:tblGrid>
        <w:gridCol w:w="6200" w:type="dxa"/>
        <w:gridCol w:w="3200" w:type="dxa"/>
      </w:tblGrid>
      <w:tblPr>
        <w:tblW w:w="0" w:type="auto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Есть централизованная подача горячей воды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Установлен коммерческий прибор учёта горячей воды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Потребление горячей воды, м³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Суточный норматив на пользователя бассейна (горячая), м³/чел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Есть централизованная подача холодной воды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Установлен коммерческий прибор учёта холодной воды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Потребление холодной воды, м³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Суточный норматив на пользователя бассейна (холодная), м³/чел — Рекомендуемое значение — 0,049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Затраты на горячую воду за год, ₽ — Нужно для программы, на расчёт не влияет.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Затраты на холодную воду за год, ₽ — Нужно для программы, на расчёт не влияет.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Водоотведение за год, м³ — Нужно для программы, на расчёт не влияет. В целевые показатели стоки не входят, но в затратах на воду это заметная доля.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Затраты на водоотведение за год, ₽ — Нужно для программы, на расчёт не влияет.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240" w:after="80"/>
      </w:pPr>
      <w:r>
        <w:rPr>
          <w:sz w:val="24"/>
          <w:szCs w:val="24"/>
          <w:b w:val="1"/>
          <w:bCs w:val="1"/>
        </w:rPr>
        <w:t xml:space="preserve">Электрическая энергия</w:t>
      </w:r>
    </w:p>
    <w:p>
      <w:pPr>
        <w:spacing w:after="100"/>
      </w:pPr>
      <w:r>
        <w:rPr>
          <w:sz w:val="18"/>
          <w:szCs w:val="18"/>
          <w:i w:val="1"/>
          <w:iCs w:val="1"/>
        </w:rPr>
        <w:t xml:space="preserve">Пункт 12.1 декларации.</w:t>
      </w:r>
    </w:p>
    <w:tbl>
      <w:tblGrid>
        <w:gridCol w:w="6200" w:type="dxa"/>
        <w:gridCol w:w="3200" w:type="dxa"/>
      </w:tblGrid>
      <w:tblPr>
        <w:tblW w:w="0" w:type="auto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Установлен коммерческий прибор учёта электрической энергии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Потребление электроэнергии, кВт·ч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Из них потреблено теплонасосной установкой, кВт·ч — Оставьте пустым, если установки нет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В здании есть лифты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Затраты на электроэнергию за год, ₽ — Нужно для программы, на расчёт не влияет.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60"/>
      </w:pPr>
      <w:r>
        <w:rPr>
          <w:sz w:val="20"/>
          <w:szCs w:val="20"/>
          <w:i w:val="1"/>
          <w:iCs w:val="1"/>
        </w:rPr>
        <w:t xml:space="preserve">Лифты</w:t>
      </w:r>
    </w:p>
    <w:tbl>
      <w:tblGrid>
        <w:gridCol w:w="4700" w:type="dxa"/>
        <w:gridCol w:w="4700" w:type="dxa"/>
      </w:tblGrid>
      <w:tblPr>
        <w:tblW w:w="0" w:type="auto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4700" w:type="dxa"/>
            <w:shd w:val="clear" w:fill="F0F3F6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Грузоподъёмность, кг</w:t>
            </w:r>
          </w:p>
        </w:tc>
        <w:tc>
          <w:tcPr>
            <w:tcW w:w="4700" w:type="dxa"/>
            <w:shd w:val="clear" w:fill="F0F3F6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Дней работы в году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>Лифт 1</w:t>
            </w:r>
          </w:p>
        </w:tc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>Лифт 2</w:t>
            </w:r>
          </w:p>
        </w:tc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>Лифт 3</w:t>
            </w:r>
          </w:p>
        </w:tc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before="240" w:after="80"/>
      </w:pPr>
      <w:r>
        <w:rPr>
          <w:sz w:val="24"/>
          <w:szCs w:val="24"/>
          <w:b w:val="1"/>
          <w:bCs w:val="1"/>
        </w:rPr>
        <w:t xml:space="preserve">Природный газ на приготовление пищи</w:t>
      </w:r>
    </w:p>
    <w:p>
      <w:pPr>
        <w:spacing w:after="100"/>
      </w:pPr>
      <w:r>
        <w:rPr>
          <w:sz w:val="18"/>
          <w:szCs w:val="18"/>
          <w:i w:val="1"/>
          <w:iCs w:val="1"/>
        </w:rPr>
        <w:t xml:space="preserve">Только газ на пищеблок — без газа на выработку энергии.</w:t>
      </w:r>
    </w:p>
    <w:tbl>
      <w:tblGrid>
        <w:gridCol w:w="6200" w:type="dxa"/>
        <w:gridCol w:w="3200" w:type="dxa"/>
      </w:tblGrid>
      <w:tblPr>
        <w:tblW w:w="0" w:type="auto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Есть централизованное газоснабжение на приготовление пищи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Установлен коммерческий прибор учёта газа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Потребление природного газа, м³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В здании есть газовые котлы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Указанный объём включает расход котлами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Затраты на природный газ за год, ₽ — Нужно для программы, на расчёт не влияет.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240" w:after="80"/>
      </w:pPr>
      <w:r>
        <w:rPr>
          <w:sz w:val="24"/>
          <w:szCs w:val="24"/>
          <w:b w:val="1"/>
          <w:bCs w:val="1"/>
        </w:rPr>
        <w:t xml:space="preserve">Твёрдое топливо на отопление и вентиляцию</w:t>
      </w:r>
    </w:p>
    <w:p>
      <w:pPr>
        <w:spacing w:after="100"/>
      </w:pPr>
      <w:r>
        <w:rPr>
          <w:sz w:val="18"/>
          <w:szCs w:val="18"/>
          <w:i w:val="1"/>
          <w:iCs w:val="1"/>
        </w:rPr>
        <w:t xml:space="preserve">Объёмы за базовый год. Пересчёт в тонны условного топлива выполняется автоматически.</w:t>
      </w:r>
    </w:p>
    <w:tbl>
      <w:tblGrid>
        <w:gridCol w:w="6200" w:type="dxa"/>
        <w:gridCol w:w="3200" w:type="dxa"/>
      </w:tblGrid>
      <w:tblPr>
        <w:tblW w:w="0" w:type="auto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Здание отапливается собственным топливом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60"/>
      </w:pPr>
      <w:r>
        <w:rPr>
          <w:sz w:val="20"/>
          <w:szCs w:val="20"/>
          <w:i w:val="1"/>
          <w:iCs w:val="1"/>
        </w:rPr>
        <w:t xml:space="preserve">Объёмы по видам топлива</w:t>
      </w:r>
    </w:p>
    <w:tbl>
      <w:tblGrid>
        <w:gridCol w:w="4700" w:type="dxa"/>
        <w:gridCol w:w="4700" w:type="dxa"/>
      </w:tblGrid>
      <w:tblPr>
        <w:tblW w:w="0" w:type="auto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4700" w:type="dxa"/>
            <w:shd w:val="clear" w:fill="F0F3F6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Вид топлива</w:t>
            </w:r>
          </w:p>
        </w:tc>
        <w:tc>
          <w:tcPr>
            <w:tcW w:w="4700" w:type="dxa"/>
            <w:shd w:val="clear" w:fill="F0F3F6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Объём за год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>Уголь каменный, тонн</w:t>
            </w:r>
          </w:p>
        </w:tc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>Уголь бурый, тонн</w:t>
            </w:r>
          </w:p>
        </w:tc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>Сланцы горючие, тонн</w:t>
            </w:r>
          </w:p>
        </w:tc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>Торф топливный, тонн</w:t>
            </w:r>
          </w:p>
        </w:tc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>Дрова для отопления, м3 (плотн.)</w:t>
            </w:r>
          </w:p>
        </w:tc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>Кокс металлургический, тонн</w:t>
            </w:r>
          </w:p>
        </w:tc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>Брикеты угольные, тонн</w:t>
            </w:r>
          </w:p>
        </w:tc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>Брикеты и п/брикеты торфяные, тонн</w:t>
            </w:r>
          </w:p>
        </w:tc>
        <w:tc>
          <w:tcPr>
            <w:tcW w:w="47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before="240" w:after="80"/>
      </w:pPr>
      <w:r>
        <w:rPr>
          <w:sz w:val="24"/>
          <w:szCs w:val="24"/>
          <w:b w:val="1"/>
          <w:bCs w:val="1"/>
        </w:rPr>
        <w:t xml:space="preserve">Иной энергетический ресурс на отопление</w:t>
      </w:r>
    </w:p>
    <w:p>
      <w:pPr>
        <w:spacing w:after="100"/>
      </w:pPr>
      <w:r>
        <w:rPr>
          <w:sz w:val="18"/>
          <w:szCs w:val="18"/>
          <w:i w:val="1"/>
          <w:iCs w:val="1"/>
        </w:rPr>
        <w:t xml:space="preserve">Если объём известен сразу в тоннах условного топлива.</w:t>
      </w:r>
    </w:p>
    <w:tbl>
      <w:tblGrid>
        <w:gridCol w:w="6200" w:type="dxa"/>
        <w:gridCol w:w="3200" w:type="dxa"/>
      </w:tblGrid>
      <w:tblPr>
        <w:tblW w:w="0" w:type="auto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Используется иной вид топлива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Потребление, т у.т.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240" w:after="80"/>
      </w:pPr>
      <w:r>
        <w:rPr>
          <w:sz w:val="24"/>
          <w:szCs w:val="24"/>
          <w:b w:val="1"/>
          <w:bCs w:val="1"/>
        </w:rPr>
        <w:t xml:space="preserve">Размеры здания</w:t>
      </w:r>
    </w:p>
    <w:p>
      <w:pPr>
        <w:spacing w:after="100"/>
      </w:pPr>
      <w:r>
        <w:rPr>
          <w:sz w:val="18"/>
          <w:szCs w:val="18"/>
          <w:i w:val="1"/>
          <w:iCs w:val="1"/>
        </w:rPr>
        <w:t xml:space="preserve">Нужно для перечня зданий в программе. На расчёт целевых показателей не влияет.</w:t>
      </w:r>
    </w:p>
    <w:tbl>
      <w:tblGrid>
        <w:gridCol w:w="6200" w:type="dxa"/>
        <w:gridCol w:w="3200" w:type="dxa"/>
      </w:tblGrid>
      <w:tblPr>
        <w:tblW w:w="0" w:type="auto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Внутренний объём здания, м³ — Пункт 4.6 декларации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Длина здания, м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Ширина здания, м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Количество окон, шт. — По нему считается эффект от замены окон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Год последнего капитального ремонта — Пункт 4.8 декларации. Пусто, если капремонта не было.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240" w:after="80"/>
      </w:pPr>
      <w:r>
        <w:rPr>
          <w:sz w:val="24"/>
          <w:szCs w:val="24"/>
          <w:b w:val="1"/>
          <w:bCs w:val="1"/>
        </w:rPr>
        <w:t xml:space="preserve">Оборудование объекта</w:t>
      </w:r>
    </w:p>
    <w:p>
      <w:pPr>
        <w:spacing w:after="100"/>
      </w:pPr>
      <w:r>
        <w:rPr>
          <w:sz w:val="18"/>
          <w:szCs w:val="18"/>
          <w:i w:val="1"/>
          <w:iCs w:val="1"/>
        </w:rPr>
        <w:t xml:space="preserve">Нужно, чтобы посчитать эффект от мероприятий программы. Раньше эти числа сотрудник уточнял по телефону.</w:t>
      </w:r>
    </w:p>
    <w:tbl>
      <w:tblGrid>
        <w:gridCol w:w="6200" w:type="dxa"/>
        <w:gridCol w:w="3200" w:type="dxa"/>
      </w:tblGrid>
      <w:tblPr>
        <w:tblW w:w="0" w:type="auto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Точек разбора горячей воды, шт.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Точек разбора холодной воды, шт.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Кранов и смесителей, шт.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Унитазов, шт.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Душевых, шт.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Объём сливного бачка, л — Обычно 6 литров у современных, 9–12 у старых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Использований унитаза в сутки, раз — В среднем на один прибор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Ламп с неэффективной технологией, шт. — Накаливания, газоразрядные, галогеновые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Средняя мощность лампы, Вт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Время работы освещения в сутки, ч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Рабочих дней в году, дней — У школы около 210, у больницы 365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Радиаторов у наружных стен, шт. — За ними ставится теплоотражающий экран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Электроплит, шт.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На объекте есть собственная котельная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Топливо котельной — Определяет, какой катализатор применим Варианты: Природный газ; Дизельное топливо; Уголь; Мазут.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240" w:after="80"/>
      </w:pPr>
      <w:r>
        <w:rPr>
          <w:sz w:val="24"/>
          <w:szCs w:val="24"/>
          <w:b w:val="1"/>
          <w:bCs w:val="1"/>
        </w:rPr>
        <w:t xml:space="preserve">Что уже сделано на объекте</w:t>
      </w:r>
    </w:p>
    <w:p>
      <w:pPr>
        <w:spacing w:after="100"/>
      </w:pPr>
      <w:r>
        <w:rPr>
          <w:sz w:val="18"/>
          <w:szCs w:val="18"/>
          <w:i w:val="1"/>
          <w:iCs w:val="1"/>
        </w:rPr>
        <w:t xml:space="preserve">Пункты 4.9, 9 и 10 энергетической декларации. Отвечается «да» или «нет» и попадает в декларацию как есть.</w:t>
      </w:r>
    </w:p>
    <w:tbl>
      <w:tblGrid>
        <w:gridCol w:w="6200" w:type="dxa"/>
        <w:gridCol w:w="3200" w:type="dxa"/>
      </w:tblGrid>
      <w:tblPr>
        <w:tblW w:w="0" w:type="auto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Учреждение отпускает или передаёт ресурсы другим потребителям — Если да, переданный объём в потребление здания включать не нужно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Класс энергетической эффективности здания — Пункт 4.9 декларации Варианты: A — очень высокий; B — высокий; C — повышенный; D — нормальный; E — пониженный; F — низкий; G — очень низкий; Не присвоен.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Внутреннее освещение переведено на светодиодное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Наружное освещение переведено на светодиодное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Есть автоматическое управление освещением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Окна со стеклопакетами повышенного термического сопротивления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Установлен индивидуальный тепловой пункт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Отопление регулируется по температуре наружного воздуха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Применены материалы, повышающие теплозащиту здания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Используются возобновляемые источники энергии или тепловые насосы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Проводилось энергетическое обследование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Теплоснабжение автономное, а не центральное — Пункт 5.3 декларации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Электроснабжение автономное, а не центральное — Пункт 5.1 декларации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В здании есть собственный источник выработки энергии — Пункт 6 декларации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Вентиляция принудительная — Пункт 7.1 декларации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Есть система кондиционирования воздуха — Пункт 7.2 декларации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Сроки поверки приборов учёта — Если поверка просрочена, расчёт с поставщиком идёт по нормативу — это отдельное мероприятие программы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240" w:after="80"/>
      </w:pPr>
      <w:r>
        <w:rPr>
          <w:sz w:val="24"/>
          <w:szCs w:val="24"/>
          <w:b w:val="1"/>
          <w:bCs w:val="1"/>
        </w:rPr>
        <w:t xml:space="preserve">Моторное топливо</w:t>
      </w:r>
    </w:p>
    <w:p>
      <w:pPr>
        <w:spacing w:after="100"/>
      </w:pPr>
      <w:r>
        <w:rPr>
          <w:sz w:val="18"/>
          <w:szCs w:val="18"/>
          <w:i w:val="1"/>
          <w:iCs w:val="1"/>
        </w:rPr>
        <w:t xml:space="preserve">Заполняется, если у учреждения есть транспорт на балансе.</w:t>
      </w:r>
    </w:p>
    <w:tbl>
      <w:tblGrid>
        <w:gridCol w:w="6200" w:type="dxa"/>
        <w:gridCol w:w="3200" w:type="dxa"/>
      </w:tblGrid>
      <w:tblPr>
        <w:tblW w:w="0" w:type="auto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6200" w:type="dxa"/>
            <w:noWrap/>
          </w:tcPr>
          <w:p>
            <w:pPr/>
            <w:r>
              <w:rPr>
                <w:sz w:val="20"/>
                <w:szCs w:val="20"/>
              </w:rPr>
              <w:t xml:space="preserve">У учреждения есть собственный транспорт — Варианты: да; нет.</w:t>
            </w:r>
          </w:p>
        </w:tc>
        <w:tc>
          <w:tcPr>
            <w:tcW w:w="3200" w:type="dxa"/>
            <w:noWrap/>
          </w:tcPr>
          <w:p>
            <w:pPr/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60"/>
      </w:pPr>
      <w:r>
        <w:rPr>
          <w:sz w:val="20"/>
          <w:szCs w:val="20"/>
          <w:i w:val="1"/>
          <w:iCs w:val="1"/>
        </w:rPr>
        <w:t xml:space="preserve">Расход по видам топлива и транспортные средства</w:t>
      </w:r>
    </w:p>
    <w:tbl>
      <w:tblGrid>
        <w:gridCol w:w="3133" w:type="dxa"/>
        <w:gridCol w:w="3133" w:type="dxa"/>
        <w:gridCol w:w="3133" w:type="dxa"/>
      </w:tblGrid>
      <w:tblPr>
        <w:tblW w:w="0" w:type="auto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3133" w:type="dxa"/>
            <w:shd w:val="clear" w:fill="F0F3F6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Вид топлива / машина</w:t>
            </w:r>
          </w:p>
        </w:tc>
        <w:tc>
          <w:tcPr>
            <w:tcW w:w="3133" w:type="dxa"/>
            <w:shd w:val="clear" w:fill="F0F3F6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Объём за год либо пробег, км</w:t>
            </w:r>
          </w:p>
        </w:tc>
        <w:tc>
          <w:tcPr>
            <w:tcW w:w="3133" w:type="dxa"/>
            <w:shd w:val="clear" w:fill="F0F3F6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Паспортный расход, л/100 км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>Сжиженный углеводородный газ (пропано-бутановая смесь), тонн</w:t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>Компримированный (сжатый) природный газ, куб.м.</w:t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>СПГ, тонн</w:t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>Топливо дизельное, тонн</w:t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>Топливо моторное, тонн</w:t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>Электроэнергия, кВтч</w:t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>Бензин автомобильный, тонн</w:t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>Машина 1</w:t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>Машина 2</w:t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>Машина 3</w:t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133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</w:tbl>
    <w:sectPr>
      <w:pgSz w:orient="portrait" w:w="11905.511811023622" w:h="16837.79527559055"/>
      <w:pgMar w:top="1440" w:right="900" w:bottom="144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2"/>
        <w:szCs w:val="22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2026-09-12T17:47:36+03:00</dcterms:created>
  <dcterms:modified xsi:type="dcterms:W3CDTF">2026-09-12T17:47:36+03:00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